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D5" w:rsidRDefault="004D3DFF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E003D5">
        <w:tc>
          <w:tcPr>
            <w:tcW w:w="5865" w:type="dxa"/>
          </w:tcPr>
          <w:p w:rsidR="00E003D5" w:rsidRDefault="00E003D5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E003D5" w:rsidRDefault="00E003D5"/>
        </w:tc>
        <w:tc>
          <w:tcPr>
            <w:tcW w:w="4284" w:type="dxa"/>
          </w:tcPr>
          <w:p w:rsidR="00E003D5" w:rsidRPr="00E003D5" w:rsidRDefault="00E003D5">
            <w:pPr>
              <w:pStyle w:val="Avd"/>
              <w:rPr>
                <w:b/>
                <w:bCs/>
                <w:sz w:val="18"/>
              </w:rPr>
            </w:pPr>
            <w:r w:rsidRPr="00E003D5">
              <w:rPr>
                <w:b/>
                <w:bCs/>
                <w:noProof/>
                <w:sz w:val="18"/>
              </w:rPr>
              <w:t>Oppvekst og levekår</w:t>
            </w:r>
          </w:p>
          <w:p w:rsidR="00E003D5" w:rsidRPr="00E003D5" w:rsidRDefault="00E003D5">
            <w:pPr>
              <w:pStyle w:val="Avd"/>
            </w:pPr>
            <w:r w:rsidRPr="00E003D5">
              <w:rPr>
                <w:noProof/>
              </w:rPr>
              <w:t>Barnehagen Tjensvoll, Tjensås, Nedre Tjensvoll</w:t>
            </w:r>
          </w:p>
          <w:p w:rsidR="00E003D5" w:rsidRPr="00E003D5" w:rsidRDefault="00E003D5">
            <w:pPr>
              <w:pStyle w:val="Avd"/>
            </w:pPr>
          </w:p>
          <w:p w:rsidR="00E003D5" w:rsidRDefault="00E003D5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  <w:r w:rsidRPr="00095639">
              <w:rPr>
                <w:noProof/>
              </w:rPr>
              <w:t>Postboks 355 Forus, 4067 Stavanger</w:t>
            </w:r>
          </w:p>
          <w:p w:rsidR="00E003D5" w:rsidRDefault="00E003D5">
            <w:pPr>
              <w:pStyle w:val="Avd"/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  <w:r w:rsidRPr="00095639">
              <w:rPr>
                <w:noProof/>
              </w:rPr>
              <w:t>Hemmetveitsbakken 11</w:t>
            </w:r>
          </w:p>
          <w:p w:rsidR="00E003D5" w:rsidRDefault="00E003D5">
            <w:pPr>
              <w:pStyle w:val="Avd"/>
            </w:pPr>
            <w:r>
              <w:t xml:space="preserve">Telefon: </w:t>
            </w:r>
            <w:r w:rsidRPr="00095639">
              <w:rPr>
                <w:noProof/>
              </w:rPr>
              <w:t>51913500</w:t>
            </w:r>
            <w:r>
              <w:t xml:space="preserve"> Faks: </w:t>
            </w:r>
            <w:r w:rsidRPr="00095639">
              <w:rPr>
                <w:noProof/>
              </w:rPr>
              <w:t>51913501</w:t>
            </w:r>
          </w:p>
          <w:p w:rsidR="00E003D5" w:rsidRDefault="00E003D5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8" w:history="1">
              <w:r w:rsidRPr="00095639">
                <w:rPr>
                  <w:noProof/>
                  <w:lang w:val="de-DE"/>
                </w:rPr>
                <w:t>postmottak.barnehage@stavanger.kommune.no</w:t>
              </w:r>
            </w:hyperlink>
            <w:r>
              <w:rPr>
                <w:lang w:val="de-DE"/>
              </w:rPr>
              <w:t xml:space="preserve"> </w:t>
            </w:r>
          </w:p>
          <w:p w:rsidR="00E003D5" w:rsidRDefault="00E003D5">
            <w:pPr>
              <w:pStyle w:val="Avd"/>
            </w:pPr>
            <w:r>
              <w:t>www.stavanger.kommune.no</w:t>
            </w:r>
          </w:p>
          <w:p w:rsidR="00E003D5" w:rsidRDefault="00E003D5">
            <w:pPr>
              <w:pStyle w:val="Avd"/>
            </w:pPr>
            <w:r>
              <w:t xml:space="preserve">Org.nr.: </w:t>
            </w:r>
            <w:r w:rsidRPr="00095639">
              <w:rPr>
                <w:noProof/>
              </w:rPr>
              <w:t>NO 964 965 226</w:t>
            </w:r>
          </w:p>
        </w:tc>
      </w:tr>
    </w:tbl>
    <w:p w:rsidR="00E003D5" w:rsidRDefault="00E003D5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E003D5">
        <w:tc>
          <w:tcPr>
            <w:tcW w:w="1426" w:type="dxa"/>
          </w:tcPr>
          <w:p w:rsidR="00E003D5" w:rsidRDefault="00E003D5">
            <w:r>
              <w:t>Gruppe:</w:t>
            </w:r>
          </w:p>
        </w:tc>
        <w:tc>
          <w:tcPr>
            <w:tcW w:w="7687" w:type="dxa"/>
            <w:gridSpan w:val="2"/>
          </w:tcPr>
          <w:p w:rsidR="00E003D5" w:rsidRDefault="00E003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 - Samarbeidsgruppemøte </w:t>
            </w:r>
          </w:p>
        </w:tc>
      </w:tr>
      <w:tr w:rsidR="00E003D5">
        <w:tc>
          <w:tcPr>
            <w:tcW w:w="1426" w:type="dxa"/>
          </w:tcPr>
          <w:p w:rsidR="00E003D5" w:rsidRDefault="00E003D5">
            <w:r>
              <w:t>Møtested:</w:t>
            </w:r>
          </w:p>
        </w:tc>
        <w:tc>
          <w:tcPr>
            <w:tcW w:w="7687" w:type="dxa"/>
            <w:gridSpan w:val="2"/>
          </w:tcPr>
          <w:p w:rsidR="00E003D5" w:rsidRDefault="00E003D5">
            <w:pPr>
              <w:rPr>
                <w:b/>
                <w:bCs/>
              </w:rPr>
            </w:pPr>
            <w:r>
              <w:rPr>
                <w:b/>
                <w:bCs/>
              </w:rPr>
              <w:t>Tjensås</w:t>
            </w:r>
          </w:p>
        </w:tc>
      </w:tr>
      <w:tr w:rsidR="00E003D5">
        <w:tc>
          <w:tcPr>
            <w:tcW w:w="1426" w:type="dxa"/>
          </w:tcPr>
          <w:p w:rsidR="00E003D5" w:rsidRDefault="00E003D5">
            <w:r>
              <w:t>Møtedato/ -tid:</w:t>
            </w:r>
          </w:p>
        </w:tc>
        <w:tc>
          <w:tcPr>
            <w:tcW w:w="7687" w:type="dxa"/>
            <w:gridSpan w:val="2"/>
          </w:tcPr>
          <w:p w:rsidR="00E003D5" w:rsidRDefault="00E003D5">
            <w:pPr>
              <w:rPr>
                <w:b/>
                <w:bCs/>
              </w:rPr>
            </w:pPr>
            <w:r>
              <w:rPr>
                <w:b/>
                <w:bCs/>
              </w:rPr>
              <w:t>06.05.14 kl.20</w:t>
            </w:r>
          </w:p>
        </w:tc>
      </w:tr>
      <w:tr w:rsidR="00E003D5">
        <w:trPr>
          <w:cantSplit/>
        </w:trPr>
        <w:tc>
          <w:tcPr>
            <w:tcW w:w="1426" w:type="dxa"/>
          </w:tcPr>
          <w:p w:rsidR="00E003D5" w:rsidRDefault="00E003D5">
            <w:r>
              <w:t>Møteleder</w:t>
            </w:r>
          </w:p>
        </w:tc>
        <w:tc>
          <w:tcPr>
            <w:tcW w:w="3843" w:type="dxa"/>
          </w:tcPr>
          <w:p w:rsidR="00E003D5" w:rsidRDefault="00E003D5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Bente Torjusen </w:t>
            </w:r>
          </w:p>
        </w:tc>
        <w:tc>
          <w:tcPr>
            <w:tcW w:w="3844" w:type="dxa"/>
          </w:tcPr>
          <w:p w:rsidR="00E003D5" w:rsidRDefault="00E003D5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 xml:space="preserve">Referent: Bente Torjusen </w:t>
            </w:r>
          </w:p>
        </w:tc>
      </w:tr>
      <w:tr w:rsidR="00E003D5">
        <w:tc>
          <w:tcPr>
            <w:tcW w:w="1426" w:type="dxa"/>
          </w:tcPr>
          <w:p w:rsidR="00E003D5" w:rsidRDefault="00E003D5">
            <w:r>
              <w:t>Deltakere:</w:t>
            </w:r>
          </w:p>
        </w:tc>
        <w:tc>
          <w:tcPr>
            <w:tcW w:w="7687" w:type="dxa"/>
            <w:gridSpan w:val="2"/>
          </w:tcPr>
          <w:p w:rsidR="00E003D5" w:rsidRDefault="00E003D5">
            <w:r w:rsidRPr="004F138D">
              <w:rPr>
                <w:b/>
                <w:sz w:val="20"/>
              </w:rPr>
              <w:t>May</w:t>
            </w:r>
            <w:r>
              <w:rPr>
                <w:b/>
                <w:sz w:val="20"/>
              </w:rPr>
              <w:t>-</w:t>
            </w:r>
            <w:r w:rsidRPr="004F138D">
              <w:rPr>
                <w:b/>
                <w:sz w:val="20"/>
              </w:rPr>
              <w:t xml:space="preserve">Britt Kopperstad FAU leder </w:t>
            </w:r>
            <w:proofErr w:type="gramStart"/>
            <w:r w:rsidRPr="004F138D">
              <w:rPr>
                <w:b/>
                <w:sz w:val="20"/>
              </w:rPr>
              <w:t xml:space="preserve">Tjensvoll, </w:t>
            </w:r>
            <w:r>
              <w:rPr>
                <w:b/>
                <w:sz w:val="20"/>
              </w:rPr>
              <w:t xml:space="preserve"> Elisabeth</w:t>
            </w:r>
            <w:proofErr w:type="gramEnd"/>
            <w:r>
              <w:rPr>
                <w:b/>
                <w:sz w:val="20"/>
              </w:rPr>
              <w:t xml:space="preserve"> S. Skorve </w:t>
            </w:r>
            <w:r w:rsidRPr="004F138D">
              <w:rPr>
                <w:b/>
                <w:sz w:val="20"/>
              </w:rPr>
              <w:t xml:space="preserve">FAU leder Tjensås, </w:t>
            </w:r>
            <w:r>
              <w:rPr>
                <w:b/>
                <w:sz w:val="20"/>
              </w:rPr>
              <w:t xml:space="preserve">Hilde B. Rasmussen vara FAU leder </w:t>
            </w:r>
            <w:proofErr w:type="spellStart"/>
            <w:r>
              <w:rPr>
                <w:b/>
                <w:sz w:val="20"/>
              </w:rPr>
              <w:t>Tjensås</w:t>
            </w:r>
            <w:proofErr w:type="spellEnd"/>
            <w:r>
              <w:rPr>
                <w:b/>
                <w:sz w:val="20"/>
              </w:rPr>
              <w:t xml:space="preserve">, </w:t>
            </w:r>
            <w:r w:rsidRPr="004F138D">
              <w:rPr>
                <w:b/>
                <w:sz w:val="20"/>
              </w:rPr>
              <w:t xml:space="preserve">Kirsten </w:t>
            </w:r>
            <w:proofErr w:type="spellStart"/>
            <w:r w:rsidRPr="004F138D">
              <w:rPr>
                <w:b/>
                <w:sz w:val="20"/>
              </w:rPr>
              <w:t>Espevik</w:t>
            </w:r>
            <w:proofErr w:type="spellEnd"/>
            <w:r w:rsidRPr="004F138D">
              <w:rPr>
                <w:b/>
                <w:sz w:val="20"/>
              </w:rPr>
              <w:t xml:space="preserve"> </w:t>
            </w:r>
            <w:proofErr w:type="spellStart"/>
            <w:r w:rsidRPr="004F138D">
              <w:rPr>
                <w:b/>
                <w:sz w:val="20"/>
              </w:rPr>
              <w:t>ped</w:t>
            </w:r>
            <w:proofErr w:type="spellEnd"/>
            <w:r w:rsidRPr="004F138D">
              <w:rPr>
                <w:b/>
                <w:sz w:val="20"/>
              </w:rPr>
              <w:t xml:space="preserve"> leder Ullandhaug, </w:t>
            </w:r>
            <w:r>
              <w:rPr>
                <w:b/>
                <w:sz w:val="20"/>
              </w:rPr>
              <w:t xml:space="preserve">June Skjeldal </w:t>
            </w:r>
            <w:r w:rsidRPr="004F138D">
              <w:rPr>
                <w:b/>
                <w:sz w:val="20"/>
              </w:rPr>
              <w:t>barne- og ungdomsarbeider Møllebukta, Bente Torjusen Styrer</w:t>
            </w:r>
          </w:p>
        </w:tc>
      </w:tr>
      <w:tr w:rsidR="00E003D5">
        <w:tc>
          <w:tcPr>
            <w:tcW w:w="1426" w:type="dxa"/>
          </w:tcPr>
          <w:p w:rsidR="00E003D5" w:rsidRDefault="00E003D5">
            <w:r>
              <w:t>Forfall:</w:t>
            </w:r>
          </w:p>
        </w:tc>
        <w:tc>
          <w:tcPr>
            <w:tcW w:w="7687" w:type="dxa"/>
            <w:gridSpan w:val="2"/>
          </w:tcPr>
          <w:p w:rsidR="00E003D5" w:rsidRDefault="00E003D5"/>
        </w:tc>
      </w:tr>
      <w:tr w:rsidR="00E003D5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E003D5" w:rsidRDefault="00E003D5">
            <w:r>
              <w:t>Kopi til: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E003D5" w:rsidRDefault="00E003D5"/>
        </w:tc>
      </w:tr>
    </w:tbl>
    <w:p w:rsidR="00E003D5" w:rsidRDefault="00E003D5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E003D5" w:rsidTr="00D12CA4">
        <w:tc>
          <w:tcPr>
            <w:tcW w:w="2544" w:type="dxa"/>
          </w:tcPr>
          <w:p w:rsidR="00E003D5" w:rsidRDefault="00E003D5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E003D5" w:rsidRDefault="00E003D5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2289" w:type="dxa"/>
          </w:tcPr>
          <w:p w:rsidR="00E003D5" w:rsidRDefault="00E003D5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E003D5" w:rsidTr="00D12CA4">
        <w:tc>
          <w:tcPr>
            <w:tcW w:w="2544" w:type="dxa"/>
          </w:tcPr>
          <w:p w:rsidR="00E003D5" w:rsidRDefault="00E003D5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:rsidR="00E003D5" w:rsidRDefault="00E003D5">
            <w:pPr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E003D5" w:rsidRDefault="00E003D5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15.05.2014</w:t>
            </w:r>
          </w:p>
        </w:tc>
      </w:tr>
    </w:tbl>
    <w:p w:rsidR="00E003D5" w:rsidRDefault="00E003D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E003D5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E003D5" w:rsidRDefault="00E003D5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E003D5" w:rsidRDefault="00E003D5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E003D5" w:rsidRDefault="00E003D5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E00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3D5" w:rsidRDefault="00E003D5"/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E003D5" w:rsidRDefault="00E003D5">
            <w:r>
              <w:t xml:space="preserve">Velkommen </w:t>
            </w:r>
          </w:p>
          <w:p w:rsidR="00E003D5" w:rsidRDefault="00E003D5">
            <w:r>
              <w:t>Ord for kvelden av Bente</w:t>
            </w:r>
            <w:r w:rsidR="006F47D8">
              <w:t xml:space="preserve"> om relasjonsbygging.</w:t>
            </w:r>
          </w:p>
        </w:tc>
        <w:tc>
          <w:tcPr>
            <w:tcW w:w="992" w:type="dxa"/>
            <w:tcBorders>
              <w:right w:val="nil"/>
            </w:tcBorders>
          </w:tcPr>
          <w:p w:rsidR="00E003D5" w:rsidRDefault="00E003D5"/>
        </w:tc>
      </w:tr>
      <w:tr w:rsidR="00E00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03D5" w:rsidRDefault="00E003D5">
            <w:r>
              <w:t>07/14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1913F5" w:rsidRDefault="00E003D5">
            <w:r>
              <w:t>Tusen takk for innsatsen på dugnaden i begge bygg – nå er vi HELT KLAR til å FEIRE NASJONALDAGEN i blant annet ny sopte uteområder og med flotte sommerblomster i pottene</w:t>
            </w:r>
            <w:r>
              <w:sym w:font="Wingdings" w:char="F04A"/>
            </w:r>
          </w:p>
        </w:tc>
        <w:tc>
          <w:tcPr>
            <w:tcW w:w="992" w:type="dxa"/>
            <w:tcBorders>
              <w:right w:val="nil"/>
            </w:tcBorders>
          </w:tcPr>
          <w:p w:rsidR="00E003D5" w:rsidRDefault="00E003D5"/>
        </w:tc>
      </w:tr>
      <w:tr w:rsidR="001913F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3F5" w:rsidRDefault="001913F5">
            <w:r>
              <w:t>08/14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1913F5" w:rsidRDefault="001913F5">
            <w:r>
              <w:t>Diverse:</w:t>
            </w:r>
          </w:p>
          <w:p w:rsidR="001913F5" w:rsidRDefault="001913F5">
            <w:r>
              <w:t xml:space="preserve">Personal - </w:t>
            </w:r>
          </w:p>
          <w:p w:rsidR="001913F5" w:rsidRDefault="006F47D8">
            <w:r>
              <w:t>Vi har tradisjon på rullering av</w:t>
            </w:r>
            <w:r w:rsidR="001913F5">
              <w:t xml:space="preserve"> personalet i </w:t>
            </w:r>
            <w:proofErr w:type="spellStart"/>
            <w:r w:rsidR="001913F5">
              <w:t>bhg</w:t>
            </w:r>
            <w:proofErr w:type="spellEnd"/>
            <w:r w:rsidR="001913F5">
              <w:t>. vår. Det betyr blant annet at noen av personalet blir med de små barna som skal over på stor avdeling.</w:t>
            </w:r>
          </w:p>
          <w:p w:rsidR="001913F5" w:rsidRDefault="001913F5">
            <w:r>
              <w:t>Siri Viding kommer tilbake fra barselpermisjon 1. august og Maria Brandal kommer tilbake 1. januar. Vi har en utlysning ute på barne- og ungdomsarbeider. Der regner vi med å få ansatt en i løpet av denne måneden.</w:t>
            </w:r>
          </w:p>
          <w:p w:rsidR="001913F5" w:rsidRDefault="001913F5">
            <w:r>
              <w:t>Økonomi –</w:t>
            </w:r>
          </w:p>
          <w:p w:rsidR="006F47D8" w:rsidRDefault="001913F5">
            <w:r>
              <w:t xml:space="preserve">Vi har hatt et merforbruk i begynnelsen av dette året, som henger sammen med endring av budsjettet. Årets budsjett tar utgangspunkt i pedagoger med lavere ansiennitet enn de vi har i jobb. </w:t>
            </w:r>
          </w:p>
          <w:p w:rsidR="001913F5" w:rsidRDefault="006F47D8" w:rsidP="006F47D8">
            <w:r>
              <w:t>Samtidig er a</w:t>
            </w:r>
            <w:r w:rsidR="001913F5">
              <w:t xml:space="preserve">lle </w:t>
            </w:r>
            <w:r>
              <w:t xml:space="preserve">kommunale </w:t>
            </w:r>
            <w:proofErr w:type="spellStart"/>
            <w:r>
              <w:t>bhg</w:t>
            </w:r>
            <w:proofErr w:type="spellEnd"/>
            <w:r>
              <w:t>.</w:t>
            </w:r>
            <w:r w:rsidR="001913F5">
              <w:t xml:space="preserve"> pålagt av fylkesmannen å ha en pedagogtetthet på 1 pedagog per 9 barn på 0-3 års avdeling, og 1 pedagog per 18 barn på 3-6 års avdeling. De</w:t>
            </w:r>
            <w:r>
              <w:t>t er vi fornøyd</w:t>
            </w:r>
            <w:r w:rsidR="00CA0927">
              <w:t xml:space="preserve"> med, men det betyr at vi</w:t>
            </w:r>
            <w:r w:rsidR="001913F5">
              <w:t xml:space="preserve"> går vekk fra våre utvidete grupper på Ullandhaug og Møllebukta. Dette </w:t>
            </w:r>
            <w:r>
              <w:t>påvirker</w:t>
            </w:r>
            <w:r w:rsidR="001913F5">
              <w:t xml:space="preserve"> budsjett</w:t>
            </w:r>
            <w:r>
              <w:t>et. V</w:t>
            </w:r>
            <w:r w:rsidR="001913F5">
              <w:t>i ser at det ikke blir anledning til noen studietur</w:t>
            </w:r>
            <w:r w:rsidR="00356C2E">
              <w:t xml:space="preserve"> i år</w:t>
            </w:r>
            <w:r w:rsidR="00CA0927">
              <w:t>. Vi satser</w:t>
            </w:r>
            <w:r>
              <w:t xml:space="preserve"> likevel </w:t>
            </w:r>
            <w:r w:rsidR="00356C2E">
              <w:t>på å</w:t>
            </w:r>
            <w:r w:rsidR="00CA0927">
              <w:t xml:space="preserve"> bruke de to planleggingsdagene i august 14&amp;15</w:t>
            </w:r>
            <w:r w:rsidR="00356C2E">
              <w:t xml:space="preserve"> på tur her i </w:t>
            </w:r>
            <w:r w:rsidR="00356C2E">
              <w:lastRenderedPageBreak/>
              <w:t>distriktet,</w:t>
            </w:r>
            <w:r w:rsidR="00CA0927">
              <w:t xml:space="preserve"> til kompetanseheving i endringsarbeidet vårt </w:t>
            </w:r>
            <w:proofErr w:type="gramStart"/>
            <w:r w:rsidR="00CA0927">
              <w:t>« Være</w:t>
            </w:r>
            <w:proofErr w:type="gramEnd"/>
            <w:r w:rsidR="00CA0927">
              <w:t xml:space="preserve"> sammen» og fortsette arbeidet med å bygge gode relasjoner perso</w:t>
            </w:r>
            <w:r w:rsidR="00356C2E">
              <w:t>nalet i mellom</w:t>
            </w:r>
            <w:r w:rsidR="00CA0927">
              <w:t>.</w:t>
            </w:r>
          </w:p>
        </w:tc>
        <w:tc>
          <w:tcPr>
            <w:tcW w:w="992" w:type="dxa"/>
            <w:tcBorders>
              <w:right w:val="nil"/>
            </w:tcBorders>
          </w:tcPr>
          <w:p w:rsidR="001913F5" w:rsidRDefault="001913F5"/>
        </w:tc>
      </w:tr>
      <w:tr w:rsidR="00CA092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927" w:rsidRDefault="00CA0927">
            <w:r>
              <w:lastRenderedPageBreak/>
              <w:t>09/14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CA0927" w:rsidRDefault="00CA0927">
            <w:r>
              <w:t>Brukerundersøkelsen –</w:t>
            </w:r>
          </w:p>
          <w:p w:rsidR="004D3DFF" w:rsidRDefault="00CA0927">
            <w:r>
              <w:t xml:space="preserve">er for første gang sendt ut elektronisk til alle foreldre på mailadressen dere har oppgitt i </w:t>
            </w:r>
            <w:proofErr w:type="spellStart"/>
            <w:r>
              <w:t>Hypernet</w:t>
            </w:r>
            <w:proofErr w:type="spellEnd"/>
            <w:r>
              <w:t xml:space="preserve">. Vi </w:t>
            </w:r>
            <w:r w:rsidR="006F1779">
              <w:t>håper at dette både letter arbeidet</w:t>
            </w:r>
            <w:r>
              <w:t xml:space="preserve"> </w:t>
            </w:r>
            <w:r w:rsidR="006F1779">
              <w:t>for dere foreldre og for personalet som slipper å purre. (vi måtte likevel det, da jeg fikk info om at svarprosenten i Tjensås var så lav at vi ikke kunne bruke resultatene).</w:t>
            </w:r>
          </w:p>
        </w:tc>
        <w:tc>
          <w:tcPr>
            <w:tcW w:w="992" w:type="dxa"/>
            <w:tcBorders>
              <w:right w:val="nil"/>
            </w:tcBorders>
          </w:tcPr>
          <w:p w:rsidR="00CA0927" w:rsidRDefault="00CA0927"/>
        </w:tc>
      </w:tr>
      <w:tr w:rsidR="004D3D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DFF" w:rsidRDefault="004D3DFF">
            <w:r>
              <w:t>10/14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4D3DFF" w:rsidRDefault="004D3DFF">
            <w:r>
              <w:t>Medarbeiderundersøkelsen –</w:t>
            </w:r>
          </w:p>
          <w:p w:rsidR="004D3DFF" w:rsidRDefault="004D3DFF" w:rsidP="004D3DFF">
            <w:r>
              <w:t>Vi fikk gode resultater. Vi har valgt å jobbe videre med områdene: Kompetanseutvikling/kulturen på arbeidsplassen/nærmeste leder som tilrettelegger og motiverer.</w:t>
            </w:r>
          </w:p>
        </w:tc>
        <w:tc>
          <w:tcPr>
            <w:tcW w:w="992" w:type="dxa"/>
            <w:tcBorders>
              <w:right w:val="nil"/>
            </w:tcBorders>
          </w:tcPr>
          <w:p w:rsidR="004D3DFF" w:rsidRDefault="004D3DFF"/>
        </w:tc>
      </w:tr>
      <w:tr w:rsidR="004D3D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DFF" w:rsidRDefault="004D3DFF">
            <w:r>
              <w:t>11/14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280E1E" w:rsidRDefault="004D3DFF">
            <w:r>
              <w:t xml:space="preserve">Vi </w:t>
            </w:r>
            <w:r w:rsidR="00D7102F">
              <w:t xml:space="preserve">gikk </w:t>
            </w:r>
            <w:r>
              <w:t xml:space="preserve">gjennom implementeringsplanen </w:t>
            </w:r>
            <w:r w:rsidR="00D7102F">
              <w:t>til personalet</w:t>
            </w:r>
            <w:r w:rsidR="00280E1E">
              <w:t xml:space="preserve"> i «Være sammen». Vi har kommet godt i gang med endringsarbeidet vårt som fortsetter til neste år. Styrer Bente er med i «Meg og» gruppen med fire andre </w:t>
            </w:r>
            <w:proofErr w:type="spellStart"/>
            <w:r w:rsidR="00280E1E">
              <w:t>bhg</w:t>
            </w:r>
            <w:proofErr w:type="spellEnd"/>
            <w:r w:rsidR="00280E1E">
              <w:t xml:space="preserve">. </w:t>
            </w:r>
            <w:proofErr w:type="gramStart"/>
            <w:r w:rsidR="00280E1E">
              <w:t>og</w:t>
            </w:r>
            <w:proofErr w:type="gramEnd"/>
            <w:r w:rsidR="00280E1E">
              <w:t xml:space="preserve"> er veldig fornøyd med å ha fått prosjektmidler kr. 195 000,- </w:t>
            </w:r>
            <w:r w:rsidR="00724938">
              <w:t xml:space="preserve">sammen som skal brukes på å fortsette å heve kompetansen og dermed kvaliteten på </w:t>
            </w:r>
            <w:proofErr w:type="spellStart"/>
            <w:r w:rsidR="00724938">
              <w:t>bhg</w:t>
            </w:r>
            <w:proofErr w:type="spellEnd"/>
            <w:r w:rsidR="00D7102F">
              <w:t>.</w:t>
            </w:r>
            <w:r w:rsidR="00724938">
              <w:t xml:space="preserve"> </w:t>
            </w:r>
            <w:proofErr w:type="gramStart"/>
            <w:r w:rsidR="00724938">
              <w:t>tilbudet</w:t>
            </w:r>
            <w:proofErr w:type="gramEnd"/>
            <w:r w:rsidR="00724938">
              <w:t xml:space="preserve"> vårt. Gruppen skal og fortsette med Pål Roland fra senter for atferds forskning som veileder.</w:t>
            </w:r>
          </w:p>
        </w:tc>
        <w:tc>
          <w:tcPr>
            <w:tcW w:w="992" w:type="dxa"/>
            <w:tcBorders>
              <w:right w:val="nil"/>
            </w:tcBorders>
          </w:tcPr>
          <w:p w:rsidR="004D3DFF" w:rsidRDefault="004D3DFF"/>
        </w:tc>
      </w:tr>
      <w:tr w:rsidR="0072493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938" w:rsidRDefault="00724938">
            <w:r>
              <w:t>12/14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724938" w:rsidRDefault="00724938" w:rsidP="000433FA">
            <w:r>
              <w:t>FAU neste år. Viktig med kontinuitet i arbeidet. Tjensås bygget har et aktivt</w:t>
            </w:r>
            <w:r w:rsidR="007F480E">
              <w:t xml:space="preserve"> og</w:t>
            </w:r>
            <w:r>
              <w:t xml:space="preserve"> godt fungerende FAU med flere deltakere. Det er vanskeligere i Tjensvoll. </w:t>
            </w:r>
            <w:r w:rsidR="000433FA">
              <w:t>SU</w:t>
            </w:r>
            <w:r>
              <w:t xml:space="preserve"> skal</w:t>
            </w:r>
            <w:r w:rsidR="000433FA">
              <w:t xml:space="preserve"> gå aktivt ut å prøve å rekruttere foreldre</w:t>
            </w:r>
            <w:r w:rsidR="007F480E">
              <w:t xml:space="preserve"> i Tjensvoll</w:t>
            </w:r>
            <w:r w:rsidR="000433FA">
              <w:t xml:space="preserve">. Håpet var å få med noen som kunne startet allerede nå. Det er ønske om å ha felles FAU møter for begge bygg. Det er høstet god erfaring fra dette tidligere. </w:t>
            </w:r>
          </w:p>
        </w:tc>
        <w:tc>
          <w:tcPr>
            <w:tcW w:w="992" w:type="dxa"/>
            <w:tcBorders>
              <w:right w:val="nil"/>
            </w:tcBorders>
          </w:tcPr>
          <w:p w:rsidR="00724938" w:rsidRDefault="00724938"/>
        </w:tc>
      </w:tr>
      <w:tr w:rsidR="000433F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3FA" w:rsidRDefault="000433FA">
            <w:r>
              <w:t>13/14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0433FA" w:rsidRDefault="000433FA" w:rsidP="000433FA">
            <w:r>
              <w:t>Saker fra FAU</w:t>
            </w:r>
          </w:p>
          <w:p w:rsidR="000433FA" w:rsidRDefault="000433FA" w:rsidP="000433FA">
            <w:r>
              <w:t>Vi gikk gjennom dugnadsarbeidet.</w:t>
            </w:r>
          </w:p>
          <w:p w:rsidR="000433FA" w:rsidRDefault="000433FA" w:rsidP="000433FA">
            <w:r>
              <w:t xml:space="preserve">Ønske fra FAU Tjensvoll om flere ute </w:t>
            </w:r>
            <w:r w:rsidR="007F480E">
              <w:t>lekeappa</w:t>
            </w:r>
            <w:r>
              <w:t xml:space="preserve">rater </w:t>
            </w:r>
            <w:r w:rsidR="007F480E">
              <w:t>til de minste.</w:t>
            </w:r>
          </w:p>
          <w:p w:rsidR="000433FA" w:rsidRDefault="00D7102F" w:rsidP="000433FA">
            <w:r>
              <w:t>Bente</w:t>
            </w:r>
            <w:r w:rsidR="007F480E">
              <w:t xml:space="preserve"> søker</w:t>
            </w:r>
            <w:r w:rsidR="000433FA">
              <w:t xml:space="preserve"> </w:t>
            </w:r>
            <w:proofErr w:type="spellStart"/>
            <w:r w:rsidR="000433FA">
              <w:t>Byggdrift</w:t>
            </w:r>
            <w:proofErr w:type="spellEnd"/>
            <w:r w:rsidR="000433FA">
              <w:t xml:space="preserve"> angående </w:t>
            </w:r>
            <w:r w:rsidR="007F480E">
              <w:t xml:space="preserve">nytt alternativt underlag ved rutsjebanen og båten i sandbassenget. Det kommer mye sand herfra som dras inn i </w:t>
            </w:r>
            <w:proofErr w:type="spellStart"/>
            <w:r w:rsidR="007F480E">
              <w:t>bhg</w:t>
            </w:r>
            <w:proofErr w:type="spellEnd"/>
            <w:r w:rsidR="007F480E">
              <w:t>.</w:t>
            </w:r>
          </w:p>
          <w:p w:rsidR="007F480E" w:rsidRDefault="007F480E" w:rsidP="000433FA">
            <w:r>
              <w:t>Matpengene er kr. 350</w:t>
            </w:r>
            <w:r w:rsidR="00D7102F">
              <w:t>,-</w:t>
            </w:r>
            <w:r>
              <w:t xml:space="preserve"> i vår </w:t>
            </w:r>
            <w:proofErr w:type="spellStart"/>
            <w:r>
              <w:t>bhg</w:t>
            </w:r>
            <w:proofErr w:type="spellEnd"/>
            <w:r>
              <w:t>. Det serveres tr</w:t>
            </w:r>
            <w:r w:rsidR="00D7102F">
              <w:t>e måltider for beløpet, et varmt i uka</w:t>
            </w:r>
            <w:r>
              <w:t xml:space="preserve">. Melken betales av </w:t>
            </w:r>
            <w:proofErr w:type="spellStart"/>
            <w:r>
              <w:t>bhg</w:t>
            </w:r>
            <w:proofErr w:type="spellEnd"/>
            <w:r>
              <w:t xml:space="preserve">. </w:t>
            </w:r>
            <w:r w:rsidR="00987459">
              <w:t>Vi har tradisjon på foreldremiddag på høsten, og gode foreldrefrokoster til jul og påske.</w:t>
            </w:r>
          </w:p>
        </w:tc>
        <w:tc>
          <w:tcPr>
            <w:tcW w:w="992" w:type="dxa"/>
            <w:tcBorders>
              <w:right w:val="nil"/>
            </w:tcBorders>
          </w:tcPr>
          <w:p w:rsidR="000433FA" w:rsidRDefault="000433FA"/>
        </w:tc>
      </w:tr>
      <w:tr w:rsidR="000433F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33FA" w:rsidRDefault="000433FA">
            <w:r>
              <w:t>14/14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0433FA" w:rsidRDefault="00987459" w:rsidP="000433FA">
            <w:r>
              <w:t xml:space="preserve">Eventuelt </w:t>
            </w:r>
          </w:p>
          <w:p w:rsidR="00987459" w:rsidRDefault="00987459" w:rsidP="000433FA">
            <w:r>
              <w:t xml:space="preserve">Planleggingsdagen for neste år </w:t>
            </w:r>
            <w:r w:rsidR="00D7102F">
              <w:t>følger kommunens</w:t>
            </w:r>
            <w:r>
              <w:t xml:space="preserve"> og er lagt ut på hjemmesiden.</w:t>
            </w:r>
          </w:p>
          <w:p w:rsidR="00987459" w:rsidRDefault="00987459" w:rsidP="000433FA">
            <w:r>
              <w:t>Datoene er 14&amp;15 august, 14 november, 2 januar og 7 april.</w:t>
            </w:r>
          </w:p>
          <w:p w:rsidR="00987459" w:rsidRDefault="00987459" w:rsidP="00987459">
            <w:r>
              <w:t xml:space="preserve">Det er biler som parkerer ulovlig på </w:t>
            </w:r>
            <w:proofErr w:type="spellStart"/>
            <w:r>
              <w:t>bhg</w:t>
            </w:r>
            <w:proofErr w:type="spellEnd"/>
            <w:r>
              <w:t xml:space="preserve"> parkeringsplass. </w:t>
            </w:r>
            <w:proofErr w:type="spellStart"/>
            <w:r>
              <w:t>Bhg</w:t>
            </w:r>
            <w:proofErr w:type="spellEnd"/>
            <w:r>
              <w:t xml:space="preserve"> har laget lapper som ligger i hyllene ved utgangene. De kan både personal og foreldre bruke til å legge på dersom de ser biler som står lenge og ikke hører til hos oss.</w:t>
            </w:r>
          </w:p>
        </w:tc>
        <w:tc>
          <w:tcPr>
            <w:tcW w:w="992" w:type="dxa"/>
            <w:tcBorders>
              <w:right w:val="nil"/>
            </w:tcBorders>
          </w:tcPr>
          <w:p w:rsidR="000433FA" w:rsidRDefault="000433FA"/>
        </w:tc>
      </w:tr>
    </w:tbl>
    <w:p w:rsidR="00E003D5" w:rsidRDefault="00E003D5"/>
    <w:p w:rsidR="00E003D5" w:rsidRDefault="00E003D5">
      <w:r>
        <w:rPr>
          <w:b/>
          <w:bCs/>
        </w:rPr>
        <w:t xml:space="preserve">Neste møte: </w:t>
      </w:r>
      <w:r w:rsidR="007F480E">
        <w:rPr>
          <w:b/>
          <w:bCs/>
        </w:rPr>
        <w:t>torsdag 23 oktober 2014</w:t>
      </w:r>
    </w:p>
    <w:p w:rsidR="00E003D5" w:rsidRDefault="00E003D5">
      <w:pPr>
        <w:rPr>
          <w:b/>
          <w:bCs/>
        </w:rPr>
      </w:pPr>
      <w:r>
        <w:rPr>
          <w:b/>
          <w:bCs/>
        </w:rPr>
        <w:t xml:space="preserve">Innleveringsfrist for saker til neste møte: </w:t>
      </w:r>
    </w:p>
    <w:p w:rsidR="00E003D5" w:rsidRDefault="00E003D5"/>
    <w:p w:rsidR="00E003D5" w:rsidRDefault="00E003D5"/>
    <w:p w:rsidR="00E003D5" w:rsidRDefault="007F480E">
      <w:pPr>
        <w:pStyle w:val="Sign"/>
      </w:pPr>
      <w:r>
        <w:t>Bente Torjusen</w:t>
      </w:r>
    </w:p>
    <w:p w:rsidR="00E003D5" w:rsidRDefault="00276080" w:rsidP="007F480E">
      <w:pPr>
        <w:pStyle w:val="Sign"/>
        <w:sectPr w:rsidR="00E003D5" w:rsidSect="00E003D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  <w:r>
        <w:t>Styrer</w:t>
      </w:r>
    </w:p>
    <w:p w:rsidR="00E003D5" w:rsidRDefault="00E003D5"/>
    <w:sectPr w:rsidR="00E003D5" w:rsidSect="00E003D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D5" w:rsidRDefault="00E003D5">
      <w:pPr>
        <w:spacing w:line="240" w:lineRule="auto"/>
      </w:pPr>
      <w:r>
        <w:separator/>
      </w:r>
    </w:p>
  </w:endnote>
  <w:endnote w:type="continuationSeparator" w:id="0">
    <w:p w:rsidR="00E003D5" w:rsidRDefault="00E00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D5" w:rsidRDefault="00E003D5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B7AE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B7AE0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D5" w:rsidRDefault="00E003D5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940FF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D5" w:rsidRDefault="00E003D5">
      <w:pPr>
        <w:spacing w:line="240" w:lineRule="auto"/>
      </w:pPr>
      <w:r>
        <w:separator/>
      </w:r>
    </w:p>
  </w:footnote>
  <w:footnote w:type="continuationSeparator" w:id="0">
    <w:p w:rsidR="00E003D5" w:rsidRDefault="00E00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D5" w:rsidRDefault="00E003D5">
    <w:pPr>
      <w:pStyle w:val="Topptekst"/>
      <w:spacing w:after="0"/>
    </w:pPr>
  </w:p>
  <w:p w:rsidR="00E003D5" w:rsidRDefault="00E003D5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D5" w:rsidRDefault="00E003D5">
    <w:pPr>
      <w:pStyle w:val="Topptekst"/>
      <w:spacing w:after="0"/>
      <w:rPr>
        <w:caps/>
      </w:rPr>
    </w:pPr>
    <w:r>
      <w:rPr>
        <w:caps/>
      </w:rPr>
      <w:t xml:space="preserve"> </w:t>
    </w:r>
  </w:p>
  <w:p w:rsidR="00E003D5" w:rsidRDefault="00E003D5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Topptekst"/>
      <w:spacing w:after="0"/>
    </w:pPr>
  </w:p>
  <w:p w:rsidR="0033390D" w:rsidRDefault="0033390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0D" w:rsidRDefault="0033390D">
    <w:pPr>
      <w:pStyle w:val="Topptekst"/>
      <w:spacing w:after="0"/>
      <w:rPr>
        <w:caps/>
      </w:rPr>
    </w:pPr>
    <w:r>
      <w:rPr>
        <w:caps/>
      </w:rPr>
      <w:t xml:space="preserve"> </w:t>
    </w:r>
  </w:p>
  <w:p w:rsidR="0033390D" w:rsidRDefault="0033390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F"/>
    <w:rsid w:val="000406F3"/>
    <w:rsid w:val="000433FA"/>
    <w:rsid w:val="000960B6"/>
    <w:rsid w:val="000A1105"/>
    <w:rsid w:val="000E37B9"/>
    <w:rsid w:val="001138DB"/>
    <w:rsid w:val="0011681C"/>
    <w:rsid w:val="001913F5"/>
    <w:rsid w:val="00237DDA"/>
    <w:rsid w:val="00276080"/>
    <w:rsid w:val="00280E1E"/>
    <w:rsid w:val="0033390D"/>
    <w:rsid w:val="00356C2E"/>
    <w:rsid w:val="003B3A28"/>
    <w:rsid w:val="004D3DFF"/>
    <w:rsid w:val="005B6BC3"/>
    <w:rsid w:val="00630378"/>
    <w:rsid w:val="0068326A"/>
    <w:rsid w:val="006B7AE0"/>
    <w:rsid w:val="006F1779"/>
    <w:rsid w:val="006F47D8"/>
    <w:rsid w:val="00705023"/>
    <w:rsid w:val="00724938"/>
    <w:rsid w:val="0076632B"/>
    <w:rsid w:val="007940FF"/>
    <w:rsid w:val="007A17F3"/>
    <w:rsid w:val="007F480E"/>
    <w:rsid w:val="0082135E"/>
    <w:rsid w:val="00976043"/>
    <w:rsid w:val="00986E4A"/>
    <w:rsid w:val="00987459"/>
    <w:rsid w:val="009D5362"/>
    <w:rsid w:val="00A53876"/>
    <w:rsid w:val="00A55431"/>
    <w:rsid w:val="00BC705E"/>
    <w:rsid w:val="00C011F1"/>
    <w:rsid w:val="00CA0927"/>
    <w:rsid w:val="00CD2037"/>
    <w:rsid w:val="00D12CA4"/>
    <w:rsid w:val="00D3740F"/>
    <w:rsid w:val="00D7102F"/>
    <w:rsid w:val="00D82CA4"/>
    <w:rsid w:val="00E003D5"/>
    <w:rsid w:val="00E86FAF"/>
    <w:rsid w:val="00EC25AB"/>
    <w:rsid w:val="00F551D8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CE05B-8724-49A5-83FD-2F1FD60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barnehag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0</TotalTime>
  <Pages>3</Pages>
  <Words>733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Bente Torjusen</dc:creator>
  <cp:lastModifiedBy>Reidun Topland</cp:lastModifiedBy>
  <cp:revision>2</cp:revision>
  <cp:lastPrinted>2004-04-23T07:43:00Z</cp:lastPrinted>
  <dcterms:created xsi:type="dcterms:W3CDTF">2015-02-27T11:18:00Z</dcterms:created>
  <dcterms:modified xsi:type="dcterms:W3CDTF">2015-02-27T11:18:00Z</dcterms:modified>
</cp:coreProperties>
</file>